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18" w:type="dxa"/>
        <w:tblLook w:val="04A0" w:firstRow="1" w:lastRow="0" w:firstColumn="1" w:lastColumn="0" w:noHBand="0" w:noVBand="1"/>
      </w:tblPr>
      <w:tblGrid>
        <w:gridCol w:w="2689"/>
        <w:gridCol w:w="3340"/>
        <w:gridCol w:w="3889"/>
      </w:tblGrid>
      <w:tr w:rsidR="0031274D" w:rsidRPr="00AE225A" w:rsidTr="007A5901">
        <w:trPr>
          <w:trHeight w:val="1395"/>
        </w:trPr>
        <w:tc>
          <w:tcPr>
            <w:tcW w:w="2689" w:type="dxa"/>
          </w:tcPr>
          <w:p w:rsidR="0031274D" w:rsidRDefault="0031274D" w:rsidP="007A5901">
            <w:pPr>
              <w:jc w:val="center"/>
              <w:rPr>
                <w:noProof/>
                <w:lang w:eastAsia="tr-TR"/>
              </w:rPr>
            </w:pPr>
            <w:r>
              <w:rPr>
                <w:noProof/>
                <w:lang w:eastAsia="tr-TR"/>
              </w:rPr>
              <w:drawing>
                <wp:inline distT="0" distB="0" distL="0" distR="0" wp14:anchorId="0C402D19" wp14:editId="150ECC29">
                  <wp:extent cx="1000125" cy="80962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809625"/>
                          </a:xfrm>
                          <a:prstGeom prst="rect">
                            <a:avLst/>
                          </a:prstGeom>
                          <a:noFill/>
                        </pic:spPr>
                      </pic:pic>
                    </a:graphicData>
                  </a:graphic>
                </wp:inline>
              </w:drawing>
            </w:r>
          </w:p>
          <w:p w:rsidR="0031274D" w:rsidRPr="00AE225A" w:rsidRDefault="0031274D" w:rsidP="007A5901">
            <w:pPr>
              <w:jc w:val="center"/>
            </w:pPr>
          </w:p>
        </w:tc>
        <w:tc>
          <w:tcPr>
            <w:tcW w:w="7229" w:type="dxa"/>
            <w:gridSpan w:val="2"/>
          </w:tcPr>
          <w:p w:rsidR="0031274D" w:rsidRPr="00AE225A" w:rsidRDefault="0031274D" w:rsidP="007A5901">
            <w:pPr>
              <w:jc w:val="center"/>
              <w:rPr>
                <w:rFonts w:ascii="Times New Roman" w:hAnsi="Times New Roman" w:cs="Times New Roman"/>
                <w:b/>
              </w:rPr>
            </w:pPr>
            <w:r w:rsidRPr="00AE225A">
              <w:rPr>
                <w:rFonts w:ascii="Times New Roman" w:hAnsi="Times New Roman" w:cs="Times New Roman"/>
                <w:b/>
              </w:rPr>
              <w:t>T.C.</w:t>
            </w:r>
          </w:p>
          <w:p w:rsidR="0031274D" w:rsidRPr="00AE225A" w:rsidRDefault="0031274D" w:rsidP="007A5901">
            <w:pPr>
              <w:jc w:val="center"/>
              <w:rPr>
                <w:rFonts w:ascii="Times New Roman" w:hAnsi="Times New Roman" w:cs="Times New Roman"/>
                <w:b/>
              </w:rPr>
            </w:pPr>
            <w:r w:rsidRPr="00AE225A">
              <w:rPr>
                <w:rFonts w:ascii="Times New Roman" w:hAnsi="Times New Roman" w:cs="Times New Roman"/>
                <w:b/>
              </w:rPr>
              <w:t>ÇUKUROVA ÜNİVERSİTESİ</w:t>
            </w:r>
          </w:p>
          <w:p w:rsidR="0031274D" w:rsidRPr="00AE225A" w:rsidRDefault="0031274D" w:rsidP="007A5901">
            <w:pPr>
              <w:jc w:val="center"/>
              <w:rPr>
                <w:rFonts w:ascii="Times New Roman" w:hAnsi="Times New Roman" w:cs="Times New Roman"/>
                <w:b/>
              </w:rPr>
            </w:pPr>
            <w:r w:rsidRPr="00AE225A">
              <w:rPr>
                <w:rFonts w:ascii="Times New Roman" w:hAnsi="Times New Roman" w:cs="Times New Roman"/>
                <w:b/>
              </w:rPr>
              <w:t>BAĞIMLILIK VE ADLİ BİLİMLER ENSTİTÜSÜ</w:t>
            </w:r>
          </w:p>
          <w:p w:rsidR="0031274D" w:rsidRPr="00AE225A" w:rsidRDefault="0031274D" w:rsidP="007A5901">
            <w:pPr>
              <w:jc w:val="center"/>
            </w:pPr>
            <w:r w:rsidRPr="00AE225A">
              <w:rPr>
                <w:rFonts w:ascii="Times New Roman" w:hAnsi="Times New Roman" w:cs="Times New Roman"/>
                <w:b/>
              </w:rPr>
              <w:t>GÖREV TANIM FORMU</w:t>
            </w:r>
            <w:r w:rsidRPr="00AE225A">
              <w:t xml:space="preserve">                                               </w:t>
            </w:r>
          </w:p>
        </w:tc>
      </w:tr>
      <w:tr w:rsidR="0031274D" w:rsidRPr="005E18D5" w:rsidTr="007A5901">
        <w:trPr>
          <w:trHeight w:val="262"/>
        </w:trPr>
        <w:tc>
          <w:tcPr>
            <w:tcW w:w="2689" w:type="dxa"/>
            <w:vMerge w:val="restart"/>
          </w:tcPr>
          <w:p w:rsidR="0031274D" w:rsidRPr="005E18D5" w:rsidRDefault="0031274D" w:rsidP="007A5901">
            <w:pPr>
              <w:rPr>
                <w:b/>
              </w:rPr>
            </w:pPr>
          </w:p>
          <w:p w:rsidR="0031274D" w:rsidRPr="005E18D5" w:rsidRDefault="0031274D" w:rsidP="007A5901">
            <w:pPr>
              <w:rPr>
                <w:b/>
              </w:rPr>
            </w:pPr>
          </w:p>
          <w:p w:rsidR="0031274D" w:rsidRPr="005E18D5" w:rsidRDefault="0031274D" w:rsidP="007A5901">
            <w:pPr>
              <w:rPr>
                <w:b/>
              </w:rPr>
            </w:pPr>
            <w:r w:rsidRPr="005E18D5">
              <w:rPr>
                <w:b/>
              </w:rPr>
              <w:t>ORGANİZASYON BİLGİLERİ</w:t>
            </w:r>
          </w:p>
        </w:tc>
        <w:tc>
          <w:tcPr>
            <w:tcW w:w="3340" w:type="dxa"/>
          </w:tcPr>
          <w:p w:rsidR="0031274D" w:rsidRPr="005E18D5" w:rsidRDefault="0031274D" w:rsidP="007A5901">
            <w:pPr>
              <w:rPr>
                <w:b/>
              </w:rPr>
            </w:pPr>
            <w:r w:rsidRPr="005E18D5">
              <w:rPr>
                <w:b/>
              </w:rPr>
              <w:t>BRİRİM ADI</w:t>
            </w:r>
          </w:p>
        </w:tc>
        <w:tc>
          <w:tcPr>
            <w:tcW w:w="3889" w:type="dxa"/>
          </w:tcPr>
          <w:p w:rsidR="0031274D" w:rsidRPr="005E18D5" w:rsidRDefault="0031274D" w:rsidP="007A5901">
            <w:pPr>
              <w:rPr>
                <w:b/>
              </w:rPr>
            </w:pPr>
            <w:r>
              <w:rPr>
                <w:b/>
              </w:rPr>
              <w:t>ENSTİTÜ MÜDÜR YARDIMCISI</w:t>
            </w:r>
          </w:p>
        </w:tc>
      </w:tr>
      <w:tr w:rsidR="0031274D" w:rsidRPr="005E18D5" w:rsidTr="007A5901">
        <w:trPr>
          <w:trHeight w:val="244"/>
        </w:trPr>
        <w:tc>
          <w:tcPr>
            <w:tcW w:w="2689" w:type="dxa"/>
            <w:vMerge/>
          </w:tcPr>
          <w:p w:rsidR="0031274D" w:rsidRPr="005E18D5" w:rsidRDefault="0031274D" w:rsidP="007A5901">
            <w:pPr>
              <w:rPr>
                <w:b/>
              </w:rPr>
            </w:pPr>
          </w:p>
        </w:tc>
        <w:tc>
          <w:tcPr>
            <w:tcW w:w="3340" w:type="dxa"/>
          </w:tcPr>
          <w:p w:rsidR="0031274D" w:rsidRPr="005E18D5" w:rsidRDefault="0031274D" w:rsidP="007A5901">
            <w:pPr>
              <w:rPr>
                <w:b/>
              </w:rPr>
            </w:pPr>
            <w:r w:rsidRPr="005E18D5">
              <w:rPr>
                <w:b/>
              </w:rPr>
              <w:t>ÜST YÖNETİCİ/YÖNETİCİLER</w:t>
            </w:r>
          </w:p>
        </w:tc>
        <w:tc>
          <w:tcPr>
            <w:tcW w:w="3889" w:type="dxa"/>
          </w:tcPr>
          <w:p w:rsidR="0031274D" w:rsidRPr="005E18D5" w:rsidRDefault="0031274D" w:rsidP="007A5901">
            <w:pPr>
              <w:rPr>
                <w:b/>
              </w:rPr>
            </w:pPr>
            <w:r>
              <w:rPr>
                <w:b/>
              </w:rPr>
              <w:t>MÜDÜR</w:t>
            </w:r>
          </w:p>
        </w:tc>
      </w:tr>
      <w:tr w:rsidR="0031274D" w:rsidRPr="005E18D5" w:rsidTr="007A5901">
        <w:trPr>
          <w:trHeight w:val="382"/>
        </w:trPr>
        <w:tc>
          <w:tcPr>
            <w:tcW w:w="2689" w:type="dxa"/>
            <w:vMerge/>
          </w:tcPr>
          <w:p w:rsidR="0031274D" w:rsidRPr="005E18D5" w:rsidRDefault="0031274D" w:rsidP="007A5901">
            <w:pPr>
              <w:rPr>
                <w:b/>
              </w:rPr>
            </w:pPr>
          </w:p>
        </w:tc>
        <w:tc>
          <w:tcPr>
            <w:tcW w:w="3340" w:type="dxa"/>
          </w:tcPr>
          <w:p w:rsidR="0031274D" w:rsidRPr="005E18D5" w:rsidRDefault="0031274D" w:rsidP="007A5901">
            <w:pPr>
              <w:rPr>
                <w:b/>
              </w:rPr>
            </w:pPr>
            <w:r w:rsidRPr="005E18D5">
              <w:rPr>
                <w:b/>
              </w:rPr>
              <w:t>GÖREV ÜNVANI</w:t>
            </w:r>
          </w:p>
        </w:tc>
        <w:tc>
          <w:tcPr>
            <w:tcW w:w="3889" w:type="dxa"/>
          </w:tcPr>
          <w:p w:rsidR="0031274D" w:rsidRPr="005E18D5" w:rsidRDefault="0031274D" w:rsidP="007A5901">
            <w:pPr>
              <w:rPr>
                <w:b/>
              </w:rPr>
            </w:pPr>
            <w:r>
              <w:rPr>
                <w:b/>
              </w:rPr>
              <w:t>MÜDÜR YARDIMCISI</w:t>
            </w:r>
          </w:p>
        </w:tc>
      </w:tr>
      <w:tr w:rsidR="0031274D" w:rsidRPr="005E18D5" w:rsidTr="007A5901">
        <w:trPr>
          <w:trHeight w:val="364"/>
        </w:trPr>
        <w:tc>
          <w:tcPr>
            <w:tcW w:w="2689" w:type="dxa"/>
            <w:vMerge/>
          </w:tcPr>
          <w:p w:rsidR="0031274D" w:rsidRPr="005E18D5" w:rsidRDefault="0031274D" w:rsidP="007A5901">
            <w:pPr>
              <w:rPr>
                <w:b/>
              </w:rPr>
            </w:pPr>
          </w:p>
        </w:tc>
        <w:tc>
          <w:tcPr>
            <w:tcW w:w="3340" w:type="dxa"/>
          </w:tcPr>
          <w:p w:rsidR="0031274D" w:rsidRPr="005E18D5" w:rsidRDefault="0031274D" w:rsidP="007A5901">
            <w:pPr>
              <w:rPr>
                <w:b/>
              </w:rPr>
            </w:pPr>
            <w:r w:rsidRPr="005E18D5">
              <w:rPr>
                <w:b/>
              </w:rPr>
              <w:t>YERİNE BAKACAK PERSONEL</w:t>
            </w:r>
          </w:p>
        </w:tc>
        <w:tc>
          <w:tcPr>
            <w:tcW w:w="3889" w:type="dxa"/>
          </w:tcPr>
          <w:p w:rsidR="0031274D" w:rsidRPr="005E18D5" w:rsidRDefault="0031274D" w:rsidP="007A5901">
            <w:pPr>
              <w:rPr>
                <w:b/>
              </w:rPr>
            </w:pPr>
          </w:p>
        </w:tc>
      </w:tr>
      <w:tr w:rsidR="0031274D" w:rsidRPr="00AE225A" w:rsidTr="007A5901">
        <w:trPr>
          <w:trHeight w:val="689"/>
        </w:trPr>
        <w:tc>
          <w:tcPr>
            <w:tcW w:w="9918" w:type="dxa"/>
            <w:gridSpan w:val="3"/>
          </w:tcPr>
          <w:p w:rsidR="0031274D" w:rsidRDefault="0031274D" w:rsidP="007A5901">
            <w:pPr>
              <w:jc w:val="both"/>
            </w:pPr>
            <w:r>
              <w:t xml:space="preserve">Enstitü Müdürünün görevlerini yerine getirmesinde yardımcı olmak üzere en çok üç yıl için atanabilirler. Müdür gerekli gördüğünde yardımcılarını değiştirebilir. Müdürün görevi sona erdiğinde yardımcılarının da görevi sona erer. Müdür Yardımcıları, Çukurova Üniversitesi üst yönetimi tarafından belirlenen amaç ve ilkelere uygun olarak; Enstitünün </w:t>
            </w:r>
            <w:proofErr w:type="gramStart"/>
            <w:r>
              <w:t>vizyonu</w:t>
            </w:r>
            <w:proofErr w:type="gramEnd"/>
            <w:r>
              <w:t xml:space="preserve"> ve misyonu doğrultusunda eğitim ve öğretim faaliyetlerinin yürütülmesi amacıyla çalışmalarda bulunurlar. Enstitü Müdür yardımcıları Müdüre karşı sorumludurlar. Müdür Yardımcıları Müdür bulunmadığında müdüre vekâlet ederler. Akademik ve idari-mali işlere bakan iki ayrı müdür yardımcısı bulunur.</w:t>
            </w:r>
          </w:p>
          <w:p w:rsidR="0031274D" w:rsidRDefault="0031274D" w:rsidP="007A5901"/>
          <w:p w:rsidR="0031274D" w:rsidRDefault="0031274D" w:rsidP="007A5901">
            <w:r>
              <w:t>Enstitü Müdür Yardımcısı (Akademik</w:t>
            </w:r>
            <w:r w:rsidR="00274A39">
              <w:t xml:space="preserve"> ve Öğrenci</w:t>
            </w:r>
            <w:r>
              <w:t xml:space="preserve"> İşler</w:t>
            </w:r>
            <w:r w:rsidR="00274A39">
              <w:t>i</w:t>
            </w:r>
            <w:bookmarkStart w:id="0" w:name="_GoBack"/>
            <w:bookmarkEnd w:id="0"/>
            <w:r>
              <w:t>)</w:t>
            </w:r>
          </w:p>
          <w:p w:rsidR="0031274D" w:rsidRDefault="0031274D" w:rsidP="007A5901"/>
          <w:p w:rsidR="0031274D" w:rsidRDefault="0031274D" w:rsidP="007A5901">
            <w:r>
              <w:t>*Müdüre görevi başında olmadığı zamanlarda vekâlet eder.</w:t>
            </w:r>
          </w:p>
          <w:p w:rsidR="0031274D" w:rsidRDefault="0031274D" w:rsidP="007A5901">
            <w:r>
              <w:t>*Eğitim-öğretim programlarının geliştirilmesi için gerekli ortamı hazırlar, bunlarla ilgili politikalar ve stratejiler belirler ve yürütülen programların çıktı yeterliliklerinin belirlenmesini sağlar.</w:t>
            </w:r>
          </w:p>
          <w:p w:rsidR="0031274D" w:rsidRDefault="0031274D" w:rsidP="007A5901">
            <w:r>
              <w:t>*Programların akredite edilmesi için gerekli çalışmaları yapar.</w:t>
            </w:r>
          </w:p>
          <w:p w:rsidR="0031274D" w:rsidRDefault="0031274D" w:rsidP="007A5901">
            <w:r>
              <w:t>*Yeni anabilim dalları açılması ve mevcut olanları yapılandırılması veya kapatılması için çalışma yapar.</w:t>
            </w:r>
          </w:p>
          <w:p w:rsidR="0031274D" w:rsidRDefault="0031274D" w:rsidP="007A5901">
            <w:r>
              <w:t xml:space="preserve">*Enstitü ile yerli ve yabancı eğitim kurumları arasındaki işbirliklerini ve öğrenci dış ilişkilerini (Farabi, Mevlana, </w:t>
            </w:r>
            <w:proofErr w:type="spellStart"/>
            <w:r>
              <w:t>Erasmus</w:t>
            </w:r>
            <w:proofErr w:type="spellEnd"/>
            <w:r>
              <w:t>, Leonardo vb.) yürütür.</w:t>
            </w:r>
          </w:p>
          <w:p w:rsidR="0031274D" w:rsidRDefault="0031274D" w:rsidP="007A5901">
            <w:r>
              <w:t>*Enstitünün düzenlediği ya da ortak olduğu konferans, seminer ve toplantı işleri ile ilgili çalışmaları yürütür.</w:t>
            </w:r>
          </w:p>
          <w:p w:rsidR="0031274D" w:rsidRDefault="0031274D" w:rsidP="007A5901">
            <w:r>
              <w:t>*Öğretim elemanlarının programlarının hazırlamasını sağlar,</w:t>
            </w:r>
          </w:p>
          <w:p w:rsidR="0031274D" w:rsidRDefault="0031274D" w:rsidP="007A5901">
            <w:r>
              <w:t>*Öğretim elemanlarının derslerini düzenli olarak yapmalarını sağlar,</w:t>
            </w:r>
          </w:p>
          <w:p w:rsidR="0031274D" w:rsidRDefault="0031274D" w:rsidP="007A5901">
            <w:r>
              <w:t>*Eğitim ve öğretimin uygulanmasında gözetim, denetim, ölçme ve değerlendirme faaliyetlerinde bulunur.</w:t>
            </w:r>
          </w:p>
          <w:p w:rsidR="0031274D" w:rsidRDefault="0031274D" w:rsidP="007A5901">
            <w:r>
              <w:t>*Eğitim ve öğretimle ilgili duyuruların Enstitü veya Üniversite web sayfasında yayınlanmasını sağlar.</w:t>
            </w:r>
          </w:p>
          <w:p w:rsidR="0031274D" w:rsidRDefault="0031274D" w:rsidP="007A5901">
            <w:r>
              <w:t>*Enstitü Müdürünün verdiği diğer görevleri yapar.</w:t>
            </w:r>
          </w:p>
          <w:p w:rsidR="0031274D" w:rsidRDefault="0031274D" w:rsidP="007A5901">
            <w:r>
              <w:t>*Enstitü Müdür Yardımcıları, yukarıda belirlenen görevlerini yerine getirmede Enstitü Müdürü adına hareket ederler ve Enstitü Müdürüne karşı sorumludurlar.</w:t>
            </w:r>
          </w:p>
          <w:p w:rsidR="0031274D" w:rsidRDefault="0031274D" w:rsidP="007A5901"/>
          <w:p w:rsidR="0031274D" w:rsidRDefault="0031274D" w:rsidP="007A5901"/>
          <w:p w:rsidR="0031274D" w:rsidRDefault="0031274D" w:rsidP="007A5901"/>
          <w:p w:rsidR="0031274D" w:rsidRDefault="0031274D" w:rsidP="007A5901"/>
          <w:p w:rsidR="0031274D" w:rsidRDefault="0031274D" w:rsidP="007A5901"/>
          <w:p w:rsidR="0031274D" w:rsidRDefault="0031274D" w:rsidP="007A5901"/>
          <w:p w:rsidR="0031274D" w:rsidRPr="00AE225A" w:rsidRDefault="0031274D" w:rsidP="007A5901"/>
        </w:tc>
      </w:tr>
    </w:tbl>
    <w:p w:rsidR="006C3A17" w:rsidRDefault="006C3A17"/>
    <w:sectPr w:rsidR="006C3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D6"/>
    <w:rsid w:val="00274A39"/>
    <w:rsid w:val="0031274D"/>
    <w:rsid w:val="006C3A17"/>
    <w:rsid w:val="00A52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224B"/>
  <w15:chartTrackingRefBased/>
  <w15:docId w15:val="{0BAA891D-3AB0-4066-9EBB-F14B405B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7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1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2022-01-20T07:32:00Z</dcterms:created>
  <dcterms:modified xsi:type="dcterms:W3CDTF">2022-01-20T07:44:00Z</dcterms:modified>
</cp:coreProperties>
</file>